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5926" w:rsidTr="00FA5926">
        <w:tc>
          <w:tcPr>
            <w:tcW w:w="5210" w:type="dxa"/>
          </w:tcPr>
          <w:p w:rsidR="00FA5926" w:rsidRDefault="00FA5926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211" w:type="dxa"/>
          </w:tcPr>
          <w:p w:rsidR="00FA5926" w:rsidRP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</w:t>
      </w:r>
      <w:proofErr w:type="spellStart"/>
      <w:r w:rsidRPr="00A444E5">
        <w:rPr>
          <w:b/>
          <w:sz w:val="28"/>
          <w:szCs w:val="28"/>
        </w:rPr>
        <w:t>Госфонд</w:t>
      </w:r>
      <w:proofErr w:type="spellEnd"/>
      <w:r w:rsidRPr="00A444E5">
        <w:rPr>
          <w:b/>
          <w:sz w:val="28"/>
          <w:szCs w:val="28"/>
        </w:rPr>
        <w:t xml:space="preserve">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</w:t>
      </w:r>
      <w:proofErr w:type="gramStart"/>
      <w:r w:rsidR="00F94754">
        <w:rPr>
          <w:sz w:val="28"/>
          <w:szCs w:val="28"/>
        </w:rPr>
        <w:t xml:space="preserve">   «</w:t>
      </w:r>
      <w:proofErr w:type="gramEnd"/>
      <w:r w:rsidR="00F94754"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аффинированное </w:t>
      </w:r>
      <w:r w:rsidR="005915F5" w:rsidRPr="00B57061">
        <w:rPr>
          <w:sz w:val="28"/>
          <w:szCs w:val="28"/>
        </w:rPr>
        <w:t>золото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1F4556" w:rsidRPr="00B57061">
        <w:rPr>
          <w:sz w:val="28"/>
          <w:szCs w:val="28"/>
        </w:rPr>
        <w:t>граммов химически чистого золота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4B7F9C" w:rsidRPr="00B57061">
        <w:rPr>
          <w:sz w:val="28"/>
          <w:szCs w:val="28"/>
        </w:rPr>
        <w:t>ого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FD0DEC" w:rsidRPr="00D16685">
        <w:rPr>
          <w:sz w:val="28"/>
          <w:szCs w:val="28"/>
        </w:rPr>
        <w:t xml:space="preserve">Челябинская обл., г. Миасс, ул. Озерная, филиал Гохрана России – «Объект «Урал», пункт приема </w:t>
      </w:r>
      <w:r w:rsidR="00FD0DEC" w:rsidRPr="00FD0DEC">
        <w:rPr>
          <w:sz w:val="28"/>
          <w:szCs w:val="28"/>
        </w:rPr>
        <w:t>грузов</w:t>
      </w:r>
      <w:r w:rsidR="00A35C6B" w:rsidRPr="00FD0DEC">
        <w:rPr>
          <w:sz w:val="28"/>
          <w:szCs w:val="28"/>
        </w:rPr>
        <w:t xml:space="preserve"> </w:t>
      </w:r>
      <w:r w:rsidRPr="00FD0DEC">
        <w:rPr>
          <w:sz w:val="28"/>
          <w:szCs w:val="28"/>
        </w:rPr>
        <w:t>(далее – хранилище Покупателя).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2.2.1.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CB5A1F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proofErr w:type="spellStart"/>
      <w:r w:rsidRPr="00B03E00">
        <w:rPr>
          <w:sz w:val="28"/>
          <w:szCs w:val="28"/>
        </w:rPr>
        <w:t>Госфонд</w:t>
      </w:r>
      <w:proofErr w:type="spellEnd"/>
      <w:r w:rsidRPr="00B03E00">
        <w:rPr>
          <w:sz w:val="28"/>
          <w:szCs w:val="28"/>
        </w:rPr>
        <w:t xml:space="preserve">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E40163" w:rsidP="00301B87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2.2.3.</w:t>
      </w:r>
      <w:r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>Цены на АДМ определяются за грамм химически чистого золота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</w:t>
      </w:r>
      <w:proofErr w:type="spellStart"/>
      <w:r w:rsidRPr="00B03E00">
        <w:rPr>
          <w:rFonts w:eastAsia="Calibri"/>
          <w:sz w:val="28"/>
          <w:szCs w:val="28"/>
        </w:rPr>
        <w:t>Госфонд</w:t>
      </w:r>
      <w:proofErr w:type="spellEnd"/>
      <w:r w:rsidRPr="00B03E00">
        <w:rPr>
          <w:rFonts w:eastAsia="Calibri"/>
          <w:sz w:val="28"/>
          <w:szCs w:val="28"/>
        </w:rPr>
        <w:t xml:space="preserve"> России по иным основаниям, </w:t>
      </w:r>
      <w:r w:rsidRPr="00B03E00">
        <w:rPr>
          <w:rFonts w:eastAsia="Calibri"/>
          <w:sz w:val="28"/>
          <w:szCs w:val="28"/>
        </w:rPr>
        <w:lastRenderedPageBreak/>
        <w:t xml:space="preserve">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2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3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4.3.</w:t>
      </w:r>
      <w:r w:rsidR="001603DD" w:rsidRPr="0088199C">
        <w:rPr>
          <w:sz w:val="28"/>
          <w:szCs w:val="28"/>
        </w:rPr>
        <w:t> </w:t>
      </w:r>
      <w:r w:rsidRPr="0088199C">
        <w:rPr>
          <w:sz w:val="28"/>
          <w:szCs w:val="28"/>
        </w:rPr>
        <w:t>Поставка</w:t>
      </w:r>
      <w:r w:rsidR="004D3E81" w:rsidRPr="0088199C">
        <w:rPr>
          <w:sz w:val="28"/>
          <w:szCs w:val="28"/>
        </w:rPr>
        <w:t xml:space="preserve"> партии</w:t>
      </w:r>
      <w:r w:rsidRPr="0088199C">
        <w:rPr>
          <w:sz w:val="28"/>
          <w:szCs w:val="28"/>
        </w:rPr>
        <w:t xml:space="preserve"> АДМ </w:t>
      </w:r>
      <w:r w:rsidRPr="00A444E5">
        <w:rPr>
          <w:sz w:val="28"/>
          <w:szCs w:val="28"/>
        </w:rPr>
        <w:t>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4.4.</w:t>
      </w:r>
      <w:r w:rsidR="001603DD" w:rsidRPr="00A444E5">
        <w:rPr>
          <w:sz w:val="28"/>
          <w:szCs w:val="28"/>
        </w:rPr>
        <w:t> </w:t>
      </w:r>
      <w:r w:rsidR="00063C08">
        <w:rPr>
          <w:color w:val="FF0000"/>
          <w:sz w:val="28"/>
          <w:szCs w:val="28"/>
        </w:rPr>
        <w:t>В случае согласия</w:t>
      </w:r>
      <w:r w:rsidR="00063C08">
        <w:rPr>
          <w:sz w:val="28"/>
          <w:szCs w:val="28"/>
        </w:rPr>
        <w:t xml:space="preserve"> </w:t>
      </w:r>
      <w:r w:rsidR="00E40163" w:rsidRPr="00A444E5">
        <w:rPr>
          <w:sz w:val="28"/>
          <w:szCs w:val="28"/>
        </w:rPr>
        <w:t>Покупатель не позднее</w:t>
      </w:r>
      <w:r w:rsidR="00E150A1" w:rsidRPr="00A444E5">
        <w:rPr>
          <w:sz w:val="28"/>
          <w:szCs w:val="28"/>
        </w:rPr>
        <w:t xml:space="preserve"> 1 (одного)</w:t>
      </w:r>
      <w:r w:rsidR="00E40163" w:rsidRPr="00A444E5">
        <w:rPr>
          <w:sz w:val="28"/>
          <w:szCs w:val="28"/>
        </w:rPr>
        <w:t xml:space="preserve">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</w:t>
      </w:r>
      <w:r w:rsidR="00E40163" w:rsidRPr="00A444E5">
        <w:rPr>
          <w:sz w:val="28"/>
          <w:szCs w:val="28"/>
        </w:rPr>
        <w:lastRenderedPageBreak/>
        <w:t xml:space="preserve">по форме </w:t>
      </w:r>
      <w:r w:rsidR="00430F05" w:rsidRPr="00A444E5">
        <w:rPr>
          <w:sz w:val="28"/>
          <w:szCs w:val="28"/>
        </w:rPr>
        <w:t>П</w:t>
      </w:r>
      <w:r w:rsidR="00E82CB5" w:rsidRPr="00A444E5">
        <w:rPr>
          <w:sz w:val="28"/>
          <w:szCs w:val="28"/>
        </w:rPr>
        <w:t>риложения</w:t>
      </w:r>
      <w:r w:rsidR="00E40163" w:rsidRPr="00A444E5">
        <w:rPr>
          <w:sz w:val="28"/>
          <w:szCs w:val="28"/>
        </w:rPr>
        <w:t xml:space="preserve">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A02B1F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50C8C" w:rsidRPr="00A444E5" w:rsidRDefault="00934C16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Полученная Покупателем электронная копия подписанного</w:t>
      </w:r>
      <w:r w:rsidR="00850C8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Сторонами дополнительного соглашения к настоящему Договору является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>подтверждением согласования Сторонами условий поставки партии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 xml:space="preserve">АДМ и ее стоимости.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 с даты подписания </w:t>
      </w:r>
      <w:r w:rsidR="00F679F8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электронной копии дополнительного соглашения к настоящему Договору Стороны обмениваются оригиналами дополнительного соглашения.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4" w:name="sub_1503"/>
      <w:bookmarkEnd w:id="3"/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340CE9" w:rsidRDefault="00977D53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872B51" w:rsidRPr="00340CE9">
        <w:rPr>
          <w:sz w:val="28"/>
          <w:szCs w:val="28"/>
        </w:rPr>
        <w:t>8</w:t>
      </w:r>
      <w:r w:rsidRPr="00340CE9">
        <w:rPr>
          <w:sz w:val="28"/>
          <w:szCs w:val="28"/>
        </w:rPr>
        <w:t>.</w:t>
      </w:r>
      <w:r w:rsidR="001603DD" w:rsidRPr="00340CE9">
        <w:rPr>
          <w:sz w:val="28"/>
          <w:szCs w:val="28"/>
        </w:rPr>
        <w:t> </w:t>
      </w:r>
      <w:r w:rsidR="0067741E" w:rsidRPr="00340CE9">
        <w:rPr>
          <w:sz w:val="28"/>
          <w:szCs w:val="28"/>
        </w:rPr>
        <w:t>Приемка АДМ в хранилище Покупателя производится</w:t>
      </w:r>
      <w:r w:rsidR="00F969A2">
        <w:rPr>
          <w:sz w:val="28"/>
          <w:szCs w:val="28"/>
        </w:rPr>
        <w:t xml:space="preserve"> </w:t>
      </w:r>
      <w:r w:rsidR="00F969A2">
        <w:rPr>
          <w:color w:val="FF0000"/>
          <w:sz w:val="28"/>
          <w:szCs w:val="28"/>
        </w:rPr>
        <w:t xml:space="preserve">в течение </w:t>
      </w:r>
      <w:r w:rsidR="00A10219">
        <w:rPr>
          <w:color w:val="FF0000"/>
          <w:sz w:val="28"/>
          <w:szCs w:val="28"/>
        </w:rPr>
        <w:br/>
      </w:r>
      <w:r w:rsidR="00F969A2">
        <w:rPr>
          <w:color w:val="FF0000"/>
          <w:sz w:val="28"/>
          <w:szCs w:val="28"/>
        </w:rPr>
        <w:t>1 (одного) рабочего дня с даты их доставки</w:t>
      </w:r>
      <w:r w:rsidR="00424054">
        <w:rPr>
          <w:color w:val="FF0000"/>
          <w:sz w:val="28"/>
          <w:szCs w:val="28"/>
        </w:rPr>
        <w:t>, но не более ____ (____) тонны в день</w:t>
      </w:r>
      <w:r w:rsidR="00F969A2">
        <w:rPr>
          <w:color w:val="FF0000"/>
          <w:sz w:val="28"/>
          <w:szCs w:val="28"/>
        </w:rPr>
        <w:t xml:space="preserve"> и</w:t>
      </w:r>
      <w:r w:rsidR="0067741E" w:rsidRPr="00340CE9">
        <w:rPr>
          <w:sz w:val="28"/>
          <w:szCs w:val="28"/>
        </w:rPr>
        <w:t xml:space="preserve"> в соответствии с порядком, установленным приказом Минфина России </w:t>
      </w:r>
      <w:r w:rsidR="00424054">
        <w:rPr>
          <w:sz w:val="28"/>
          <w:szCs w:val="28"/>
        </w:rPr>
        <w:br/>
      </w:r>
      <w:r w:rsidR="0067741E" w:rsidRPr="00340CE9">
        <w:rPr>
          <w:sz w:val="28"/>
          <w:szCs w:val="28"/>
        </w:rPr>
        <w:t xml:space="preserve">от 13 апреля 2004 г. № 38н «Об утверждении Порядка проведения предварительной экспертизы ценностей, зачисляемых в </w:t>
      </w:r>
      <w:proofErr w:type="spellStart"/>
      <w:r w:rsidR="0067741E" w:rsidRPr="00340CE9">
        <w:rPr>
          <w:sz w:val="28"/>
          <w:szCs w:val="28"/>
        </w:rPr>
        <w:t>Госфонд</w:t>
      </w:r>
      <w:proofErr w:type="spellEnd"/>
      <w:r w:rsidR="0067741E" w:rsidRPr="00340CE9">
        <w:rPr>
          <w:sz w:val="28"/>
          <w:szCs w:val="28"/>
        </w:rPr>
        <w:t xml:space="preserve"> России».</w:t>
      </w:r>
      <w:r w:rsidR="007105D6" w:rsidRPr="00340CE9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</w:t>
      </w:r>
      <w:r w:rsidR="00F969A2" w:rsidRPr="00F969A2">
        <w:rPr>
          <w:sz w:val="28"/>
          <w:szCs w:val="28"/>
        </w:rPr>
        <w:t xml:space="preserve">____ </w:t>
      </w:r>
      <w:r w:rsidRPr="00F969A2">
        <w:rPr>
          <w:sz w:val="28"/>
          <w:szCs w:val="28"/>
        </w:rPr>
        <w:t>(</w:t>
      </w:r>
      <w:r w:rsidR="00F969A2" w:rsidRPr="00F969A2">
        <w:rPr>
          <w:sz w:val="28"/>
          <w:szCs w:val="28"/>
        </w:rPr>
        <w:t>________</w:t>
      </w:r>
      <w:r w:rsidRPr="00F969A2">
        <w:rPr>
          <w:sz w:val="28"/>
          <w:szCs w:val="28"/>
        </w:rPr>
        <w:t>)</w:t>
      </w:r>
      <w:r>
        <w:rPr>
          <w:sz w:val="28"/>
          <w:szCs w:val="28"/>
        </w:rPr>
        <w:t xml:space="preserve">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lastRenderedPageBreak/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4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5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5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</w:t>
      </w:r>
      <w:proofErr w:type="spellStart"/>
      <w:r w:rsidR="00643423">
        <w:rPr>
          <w:sz w:val="28"/>
          <w:szCs w:val="28"/>
        </w:rPr>
        <w:t>ов</w:t>
      </w:r>
      <w:proofErr w:type="spellEnd"/>
      <w:r w:rsidR="00643423">
        <w:rPr>
          <w:sz w:val="28"/>
          <w:szCs w:val="28"/>
        </w:rPr>
        <w:t>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550007">
        <w:rPr>
          <w:sz w:val="28"/>
          <w:szCs w:val="28"/>
        </w:rPr>
        <w:t xml:space="preserve"> настоящего Договора по </w:t>
      </w:r>
      <w:r w:rsidR="002D50DE">
        <w:rPr>
          <w:sz w:val="28"/>
          <w:szCs w:val="28"/>
        </w:rPr>
        <w:t>«____» ______________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2D50DE">
        <w:rPr>
          <w:sz w:val="28"/>
          <w:szCs w:val="28"/>
        </w:rPr>
        <w:t>____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6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7"/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B5">
        <w:rPr>
          <w:rFonts w:ascii="Times New Roman" w:hAnsi="Times New Roman" w:cs="Times New Roman"/>
          <w:sz w:val="28"/>
          <w:szCs w:val="28"/>
        </w:rPr>
        <w:t xml:space="preserve">ГОСТ </w:t>
      </w:r>
      <w:r w:rsidR="00E150A1" w:rsidRPr="003E6AB5">
        <w:rPr>
          <w:rFonts w:ascii="Times New Roman" w:hAnsi="Times New Roman" w:cs="Times New Roman"/>
          <w:sz w:val="28"/>
          <w:szCs w:val="28"/>
        </w:rPr>
        <w:t>28058-</w:t>
      </w:r>
      <w:r w:rsidR="00BB1C40" w:rsidRPr="003E6AB5">
        <w:rPr>
          <w:rFonts w:ascii="Times New Roman" w:hAnsi="Times New Roman" w:cs="Times New Roman"/>
          <w:sz w:val="28"/>
          <w:szCs w:val="28"/>
        </w:rPr>
        <w:t>2015 «Золото в слитках. Технические условия»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  <w:r w:rsidR="00BB1C40" w:rsidRPr="00A444E5">
        <w:rPr>
          <w:rFonts w:ascii="Times New Roman" w:hAnsi="Times New Roman" w:cs="Times New Roman"/>
          <w:sz w:val="28"/>
          <w:szCs w:val="28"/>
        </w:rPr>
        <w:br/>
        <w:t>(марк</w:t>
      </w:r>
      <w:r w:rsidR="003E6AB5">
        <w:rPr>
          <w:rFonts w:ascii="Times New Roman" w:hAnsi="Times New Roman" w:cs="Times New Roman"/>
          <w:sz w:val="28"/>
          <w:szCs w:val="28"/>
        </w:rPr>
        <w:t>а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ЗлА-1)</w:t>
      </w:r>
      <w:r w:rsidRPr="00A444E5">
        <w:rPr>
          <w:rFonts w:ascii="Times New Roman" w:hAnsi="Times New Roman" w:cs="Times New Roman"/>
          <w:sz w:val="28"/>
          <w:szCs w:val="28"/>
        </w:rPr>
        <w:t>;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9D">
        <w:rPr>
          <w:rFonts w:ascii="Times New Roman" w:hAnsi="Times New Roman" w:cs="Times New Roman"/>
          <w:sz w:val="28"/>
          <w:szCs w:val="28"/>
        </w:rPr>
        <w:t xml:space="preserve">ГОСТ </w:t>
      </w:r>
      <w:r w:rsidR="003B719D" w:rsidRPr="003B719D">
        <w:rPr>
          <w:rFonts w:ascii="Times New Roman" w:hAnsi="Times New Roman" w:cs="Times New Roman"/>
          <w:sz w:val="28"/>
          <w:szCs w:val="28"/>
        </w:rPr>
        <w:t>Р 51572-202</w:t>
      </w:r>
      <w:r w:rsidR="00BB1C40" w:rsidRPr="003B719D">
        <w:rPr>
          <w:rFonts w:ascii="Times New Roman" w:hAnsi="Times New Roman" w:cs="Times New Roman"/>
          <w:sz w:val="28"/>
          <w:szCs w:val="28"/>
        </w:rPr>
        <w:t xml:space="preserve">0 «Слитки золота мерные. Технические условия» </w:t>
      </w:r>
      <w:r w:rsidR="00BB1C40" w:rsidRPr="003B719D">
        <w:rPr>
          <w:rFonts w:ascii="Times New Roman" w:hAnsi="Times New Roman" w:cs="Times New Roman"/>
          <w:sz w:val="28"/>
          <w:szCs w:val="28"/>
        </w:rPr>
        <w:br/>
        <w:t xml:space="preserve">(марка </w:t>
      </w:r>
      <w:proofErr w:type="spellStart"/>
      <w:r w:rsidR="00BB1C40" w:rsidRPr="003B719D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="00BB1C40" w:rsidRPr="003B719D">
        <w:rPr>
          <w:rFonts w:ascii="Times New Roman" w:hAnsi="Times New Roman" w:cs="Times New Roman"/>
          <w:sz w:val="28"/>
          <w:szCs w:val="28"/>
        </w:rPr>
        <w:t xml:space="preserve"> 999,9м).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53" w:rsidRPr="007676B7" w:rsidRDefault="00E40163" w:rsidP="00360740">
      <w:pPr>
        <w:ind w:firstLine="709"/>
        <w:jc w:val="both"/>
        <w:rPr>
          <w:sz w:val="28"/>
          <w:szCs w:val="28"/>
        </w:rPr>
      </w:pPr>
      <w:bookmarkStart w:id="8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r w:rsidRPr="007676B7">
        <w:rPr>
          <w:sz w:val="28"/>
          <w:szCs w:val="28"/>
        </w:rPr>
        <w:t>АДМ должны быть изготовлены в аффинажной организации, имеющей статус «</w:t>
      </w:r>
      <w:r w:rsidRPr="007676B7">
        <w:rPr>
          <w:sz w:val="28"/>
          <w:szCs w:val="28"/>
          <w:lang w:val="en-US"/>
        </w:rPr>
        <w:t>Good</w:t>
      </w:r>
      <w:r w:rsidRPr="007676B7">
        <w:rPr>
          <w:sz w:val="28"/>
          <w:szCs w:val="28"/>
        </w:rPr>
        <w:t xml:space="preserve"> </w:t>
      </w:r>
      <w:r w:rsidRPr="007676B7">
        <w:rPr>
          <w:sz w:val="28"/>
          <w:szCs w:val="28"/>
          <w:lang w:val="en-US"/>
        </w:rPr>
        <w:t>Delivery</w:t>
      </w:r>
      <w:r w:rsidRPr="007676B7">
        <w:rPr>
          <w:sz w:val="28"/>
          <w:szCs w:val="28"/>
        </w:rPr>
        <w:t xml:space="preserve">» по </w:t>
      </w:r>
      <w:r w:rsidR="00935DE1" w:rsidRPr="009E32E8">
        <w:rPr>
          <w:sz w:val="28"/>
          <w:szCs w:val="28"/>
        </w:rPr>
        <w:t>золоту</w:t>
      </w:r>
      <w:r w:rsidR="00B96536" w:rsidRPr="009E32E8">
        <w:rPr>
          <w:sz w:val="28"/>
          <w:szCs w:val="28"/>
        </w:rPr>
        <w:t xml:space="preserve"> на момент изготовления</w:t>
      </w:r>
      <w:r w:rsidR="00935DE1" w:rsidRPr="009E32E8">
        <w:rPr>
          <w:sz w:val="28"/>
          <w:szCs w:val="28"/>
        </w:rPr>
        <w:t>.</w:t>
      </w:r>
      <w:r w:rsidR="00935DE1" w:rsidRPr="007676B7">
        <w:rPr>
          <w:sz w:val="28"/>
          <w:szCs w:val="28"/>
        </w:rPr>
        <w:t xml:space="preserve"> </w:t>
      </w:r>
    </w:p>
    <w:p w:rsidR="00615AFA" w:rsidRDefault="00E40163" w:rsidP="00301B87">
      <w:pPr>
        <w:ind w:firstLine="709"/>
        <w:jc w:val="both"/>
        <w:rPr>
          <w:sz w:val="28"/>
          <w:szCs w:val="28"/>
        </w:rPr>
      </w:pPr>
      <w:r w:rsidRPr="0059000D">
        <w:rPr>
          <w:sz w:val="28"/>
          <w:szCs w:val="28"/>
        </w:rPr>
        <w:t>К</w:t>
      </w:r>
      <w:r w:rsidR="00A04CE7" w:rsidRPr="0059000D">
        <w:rPr>
          <w:sz w:val="28"/>
          <w:szCs w:val="28"/>
        </w:rPr>
        <w:t xml:space="preserve"> каждой партии</w:t>
      </w:r>
      <w:r w:rsidRPr="0059000D">
        <w:rPr>
          <w:sz w:val="28"/>
          <w:szCs w:val="28"/>
        </w:rPr>
        <w:t xml:space="preserve"> АДМ </w:t>
      </w:r>
      <w:r w:rsidR="00094CC1" w:rsidRPr="0059000D">
        <w:rPr>
          <w:sz w:val="28"/>
          <w:szCs w:val="28"/>
        </w:rPr>
        <w:t>прилагается спецификация (-и)</w:t>
      </w:r>
      <w:r w:rsidR="00FC1301" w:rsidRPr="0059000D">
        <w:rPr>
          <w:sz w:val="28"/>
          <w:szCs w:val="28"/>
        </w:rPr>
        <w:t xml:space="preserve"> Продавца </w:t>
      </w:r>
      <w:r w:rsidR="00D950A9" w:rsidRPr="0059000D">
        <w:rPr>
          <w:sz w:val="28"/>
          <w:szCs w:val="28"/>
        </w:rPr>
        <w:t>и/</w:t>
      </w:r>
      <w:r w:rsidR="00FC1301" w:rsidRPr="0059000D">
        <w:rPr>
          <w:sz w:val="28"/>
          <w:szCs w:val="28"/>
        </w:rPr>
        <w:t>или аффинажной организации</w:t>
      </w:r>
      <w:r w:rsidR="003B719D" w:rsidRPr="0059000D">
        <w:rPr>
          <w:sz w:val="28"/>
          <w:szCs w:val="28"/>
        </w:rPr>
        <w:t>, документы о</w:t>
      </w:r>
      <w:r w:rsidRPr="0059000D">
        <w:rPr>
          <w:sz w:val="28"/>
          <w:szCs w:val="28"/>
        </w:rPr>
        <w:t xml:space="preserve"> качеств</w:t>
      </w:r>
      <w:r w:rsidR="003B719D" w:rsidRPr="0059000D">
        <w:rPr>
          <w:sz w:val="28"/>
          <w:szCs w:val="28"/>
        </w:rPr>
        <w:t>е (сертификаты или паспорта)</w:t>
      </w:r>
      <w:r w:rsidR="00AC1D4B">
        <w:rPr>
          <w:rStyle w:val="a8"/>
          <w:sz w:val="28"/>
          <w:szCs w:val="28"/>
        </w:rPr>
        <w:footnoteReference w:id="5"/>
      </w:r>
      <w:r w:rsidR="005F6A0E" w:rsidRPr="0059000D">
        <w:rPr>
          <w:sz w:val="28"/>
          <w:szCs w:val="28"/>
        </w:rPr>
        <w:t xml:space="preserve">, </w:t>
      </w:r>
      <w:r w:rsidR="005F6A0E" w:rsidRPr="0059000D">
        <w:rPr>
          <w:rFonts w:eastAsia="Calibri"/>
          <w:sz w:val="28"/>
          <w:szCs w:val="28"/>
        </w:rPr>
        <w:t>оформленные в соответствии с нормативно-технической документацией</w:t>
      </w:r>
      <w:r w:rsidRPr="0059000D">
        <w:rPr>
          <w:sz w:val="28"/>
          <w:szCs w:val="28"/>
        </w:rPr>
        <w:t xml:space="preserve"> </w:t>
      </w:r>
      <w:r w:rsidR="003B719D" w:rsidRPr="0059000D">
        <w:rPr>
          <w:sz w:val="28"/>
          <w:szCs w:val="28"/>
        </w:rPr>
        <w:t>предприятия-изготовителя</w:t>
      </w:r>
      <w:r w:rsidRPr="0059000D">
        <w:rPr>
          <w:sz w:val="28"/>
          <w:szCs w:val="28"/>
        </w:rPr>
        <w:t>.</w:t>
      </w:r>
      <w:bookmarkEnd w:id="8"/>
      <w:r w:rsidR="009E1A4E" w:rsidRPr="00DB4784">
        <w:rPr>
          <w:sz w:val="28"/>
          <w:szCs w:val="28"/>
        </w:rPr>
        <w:t xml:space="preserve"> </w:t>
      </w:r>
      <w:bookmarkStart w:id="9" w:name="sub_1007"/>
    </w:p>
    <w:p w:rsidR="00C42F7A" w:rsidRDefault="00C42F7A" w:rsidP="00301B87">
      <w:pPr>
        <w:ind w:firstLine="709"/>
        <w:jc w:val="both"/>
        <w:rPr>
          <w:sz w:val="28"/>
          <w:szCs w:val="28"/>
        </w:rPr>
      </w:pPr>
    </w:p>
    <w:p w:rsidR="0036362D" w:rsidRDefault="0036362D" w:rsidP="00301B87">
      <w:pPr>
        <w:ind w:firstLine="709"/>
        <w:jc w:val="both"/>
        <w:rPr>
          <w:sz w:val="28"/>
          <w:szCs w:val="28"/>
        </w:rPr>
      </w:pPr>
    </w:p>
    <w:p w:rsidR="0036362D" w:rsidRDefault="0036362D" w:rsidP="00301B87">
      <w:pPr>
        <w:ind w:firstLine="709"/>
        <w:jc w:val="both"/>
        <w:rPr>
          <w:sz w:val="28"/>
          <w:szCs w:val="28"/>
        </w:rPr>
      </w:pPr>
    </w:p>
    <w:p w:rsidR="0036362D" w:rsidRPr="00C42F7A" w:rsidRDefault="0036362D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lastRenderedPageBreak/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 xml:space="preserve">и иные </w:t>
      </w:r>
      <w:r w:rsidR="002C445A" w:rsidRPr="00A444E5">
        <w:rPr>
          <w:sz w:val="28"/>
          <w:szCs w:val="28"/>
        </w:rPr>
        <w:lastRenderedPageBreak/>
        <w:t>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36362D" w:rsidRDefault="0036362D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1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</w:t>
      </w:r>
      <w:r w:rsidRPr="00A444E5">
        <w:rPr>
          <w:sz w:val="28"/>
          <w:szCs w:val="28"/>
        </w:rPr>
        <w:lastRenderedPageBreak/>
        <w:t>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F73A7E" w:rsidRPr="00C42F7A" w:rsidRDefault="00F73A7E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5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</w:t>
      </w:r>
      <w:r w:rsidR="00421042">
        <w:rPr>
          <w:sz w:val="28"/>
          <w:szCs w:val="28"/>
        </w:rPr>
        <w:t xml:space="preserve"> 20 </w:t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  <w:t>_____</w:t>
      </w:r>
      <w:r w:rsidR="00541EE5" w:rsidRPr="00A444E5">
        <w:rPr>
          <w:sz w:val="28"/>
          <w:szCs w:val="28"/>
        </w:rPr>
        <w:t xml:space="preserve"> 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</w:t>
      </w:r>
      <w:proofErr w:type="spellStart"/>
      <w:r w:rsidR="00F005D5" w:rsidRPr="00A444E5">
        <w:rPr>
          <w:bCs/>
          <w:sz w:val="28"/>
          <w:szCs w:val="26"/>
        </w:rPr>
        <w:t>Госфонд</w:t>
      </w:r>
      <w:proofErr w:type="spellEnd"/>
      <w:r w:rsidR="00F005D5" w:rsidRPr="00A444E5">
        <w:rPr>
          <w:bCs/>
          <w:sz w:val="28"/>
          <w:szCs w:val="26"/>
        </w:rPr>
        <w:t xml:space="preserve">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</w:t>
      </w:r>
      <w:proofErr w:type="spellStart"/>
      <w:r>
        <w:rPr>
          <w:sz w:val="28"/>
          <w:szCs w:val="28"/>
        </w:rPr>
        <w:t>Госфонд</w:t>
      </w:r>
      <w:proofErr w:type="spellEnd"/>
      <w:r>
        <w:rPr>
          <w:sz w:val="28"/>
          <w:szCs w:val="28"/>
        </w:rPr>
        <w:t xml:space="preserve">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36362D" w:rsidRDefault="0036362D" w:rsidP="00C42F7A">
      <w:pPr>
        <w:ind w:firstLine="709"/>
        <w:jc w:val="both"/>
        <w:rPr>
          <w:sz w:val="28"/>
          <w:szCs w:val="28"/>
        </w:rPr>
      </w:pPr>
    </w:p>
    <w:p w:rsidR="00C42F7A" w:rsidRDefault="00C42F7A">
      <w:pPr>
        <w:rPr>
          <w:sz w:val="28"/>
          <w:szCs w:val="28"/>
        </w:rPr>
      </w:pPr>
      <w:bookmarkStart w:id="16" w:name="_GoBack"/>
      <w:bookmarkEnd w:id="16"/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</w:t>
      </w:r>
      <w:proofErr w:type="spellStart"/>
      <w:r w:rsidRPr="00A444E5">
        <w:rPr>
          <w:rFonts w:ascii="Times New Roman" w:hAnsi="Times New Roman"/>
          <w:color w:val="auto"/>
          <w:sz w:val="28"/>
          <w:szCs w:val="28"/>
        </w:rPr>
        <w:t>Госфонд</w:t>
      </w:r>
      <w:proofErr w:type="spellEnd"/>
      <w:r w:rsidRPr="00A444E5">
        <w:rPr>
          <w:rFonts w:ascii="Times New Roman" w:hAnsi="Times New Roman"/>
          <w:color w:val="auto"/>
          <w:sz w:val="28"/>
          <w:szCs w:val="28"/>
        </w:rPr>
        <w:t xml:space="preserve">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7"/>
            <w:bookmarkEnd w:id="18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 xml:space="preserve">в </w:t>
            </w:r>
            <w:proofErr w:type="spellStart"/>
            <w:r w:rsidRPr="0043480B">
              <w:rPr>
                <w:sz w:val="22"/>
                <w:szCs w:val="22"/>
              </w:rPr>
              <w:t>Госфонд</w:t>
            </w:r>
            <w:proofErr w:type="spellEnd"/>
            <w:r w:rsidRPr="0043480B">
              <w:rPr>
                <w:sz w:val="22"/>
                <w:szCs w:val="22"/>
              </w:rPr>
              <w:t xml:space="preserve">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F73A7E">
        <w:rPr>
          <w:strike w:val="0"/>
        </w:rPr>
        <w:t xml:space="preserve"> ____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D518D3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 w:rsidRPr="00A444E5">
              <w:rPr>
                <w:b/>
                <w:strike w:val="0"/>
                <w:szCs w:val="24"/>
              </w:rPr>
              <w:t>Химически чистая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F73A7E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F73A7E">
              <w:rPr>
                <w:b/>
                <w:strike w:val="0"/>
              </w:rPr>
              <w:t xml:space="preserve"> _____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D7687B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277218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proofErr w:type="gramStart"/>
      <w:r w:rsidRPr="00A444E5">
        <w:rPr>
          <w:b/>
          <w:sz w:val="28"/>
          <w:szCs w:val="28"/>
        </w:rPr>
        <w:t xml:space="preserve">Покупатель:   </w:t>
      </w:r>
      <w:proofErr w:type="gramEnd"/>
      <w:r w:rsidRPr="00A444E5">
        <w:rPr>
          <w:b/>
          <w:sz w:val="28"/>
          <w:szCs w:val="28"/>
        </w:rPr>
        <w:t xml:space="preserve">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</w:t>
            </w:r>
            <w:proofErr w:type="gramStart"/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>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proofErr w:type="gramEnd"/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</w:t>
            </w:r>
            <w:proofErr w:type="gramStart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 xml:space="preserve">в </w:t>
      </w:r>
      <w:proofErr w:type="spellStart"/>
      <w:r w:rsidRPr="0043480B">
        <w:rPr>
          <w:sz w:val="22"/>
          <w:szCs w:val="22"/>
        </w:rPr>
        <w:t>Госфонд</w:t>
      </w:r>
      <w:proofErr w:type="spellEnd"/>
      <w:r w:rsidRPr="0043480B">
        <w:rPr>
          <w:sz w:val="22"/>
          <w:szCs w:val="22"/>
        </w:rPr>
        <w:t xml:space="preserve">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</w:t>
      </w:r>
      <w:proofErr w:type="spellStart"/>
      <w:r w:rsidRPr="00D06F6E">
        <w:rPr>
          <w:b/>
          <w:bCs/>
          <w:sz w:val="26"/>
          <w:szCs w:val="26"/>
        </w:rPr>
        <w:t>Госфонд</w:t>
      </w:r>
      <w:proofErr w:type="spellEnd"/>
      <w:r w:rsidRPr="00D06F6E">
        <w:rPr>
          <w:b/>
          <w:bCs/>
          <w:sz w:val="26"/>
          <w:szCs w:val="26"/>
        </w:rPr>
        <w:t xml:space="preserve">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</w:t>
      </w:r>
      <w:proofErr w:type="gramStart"/>
      <w:r w:rsidRPr="00D06F6E">
        <w:rPr>
          <w:sz w:val="26"/>
          <w:szCs w:val="26"/>
        </w:rPr>
        <w:t xml:space="preserve">   «</w:t>
      </w:r>
      <w:proofErr w:type="gramEnd"/>
      <w:r w:rsidRPr="00D06F6E">
        <w:rPr>
          <w:sz w:val="26"/>
          <w:szCs w:val="26"/>
        </w:rPr>
        <w:t>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proofErr w:type="gramStart"/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</w:t>
      </w:r>
      <w:proofErr w:type="gramEnd"/>
      <w:r w:rsidR="00CA41EC">
        <w:rPr>
          <w:i/>
          <w:sz w:val="16"/>
          <w:szCs w:val="16"/>
        </w:rPr>
        <w:t xml:space="preserve">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</w:t>
      </w:r>
      <w:proofErr w:type="spellStart"/>
      <w:r w:rsidRPr="003A161F">
        <w:rPr>
          <w:sz w:val="26"/>
          <w:szCs w:val="26"/>
        </w:rPr>
        <w:t>ый</w:t>
      </w:r>
      <w:proofErr w:type="spellEnd"/>
      <w:r w:rsidRPr="003A161F">
        <w:rPr>
          <w:sz w:val="26"/>
          <w:szCs w:val="26"/>
        </w:rPr>
        <w:t>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</w:t>
      </w:r>
      <w:proofErr w:type="gramStart"/>
      <w:r w:rsidR="00252319">
        <w:rPr>
          <w:i/>
          <w:sz w:val="16"/>
          <w:szCs w:val="16"/>
        </w:rPr>
        <w:t xml:space="preserve">  </w:t>
      </w:r>
      <w:r w:rsidR="005036FA" w:rsidRPr="003A161F">
        <w:rPr>
          <w:i/>
          <w:sz w:val="16"/>
          <w:szCs w:val="16"/>
        </w:rPr>
        <w:t xml:space="preserve"> (</w:t>
      </w:r>
      <w:proofErr w:type="gramEnd"/>
      <w:r w:rsidR="005036FA" w:rsidRPr="003A161F">
        <w:rPr>
          <w:i/>
          <w:sz w:val="16"/>
          <w:szCs w:val="16"/>
        </w:rPr>
        <w:t xml:space="preserve">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</w:t>
      </w:r>
      <w:proofErr w:type="gramStart"/>
      <w:r w:rsidR="00717F1A">
        <w:rPr>
          <w:sz w:val="16"/>
          <w:szCs w:val="16"/>
        </w:rPr>
        <w:t xml:space="preserve">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</w:t>
      </w:r>
      <w:proofErr w:type="gramEnd"/>
      <w:r w:rsidRPr="005036FA">
        <w:rPr>
          <w:i/>
          <w:sz w:val="16"/>
          <w:szCs w:val="16"/>
        </w:rPr>
        <w:t>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 xml:space="preserve">оговору купли-продажи драгоценных металлов в </w:t>
      </w:r>
      <w:proofErr w:type="spellStart"/>
      <w:r w:rsidR="00366636" w:rsidRPr="005036FA">
        <w:rPr>
          <w:sz w:val="26"/>
          <w:szCs w:val="26"/>
        </w:rPr>
        <w:t>Госфон</w:t>
      </w:r>
      <w:r w:rsidR="005036FA">
        <w:rPr>
          <w:sz w:val="26"/>
          <w:szCs w:val="26"/>
        </w:rPr>
        <w:t>д</w:t>
      </w:r>
      <w:proofErr w:type="spellEnd"/>
      <w:r w:rsidR="005036FA">
        <w:rPr>
          <w:sz w:val="26"/>
          <w:szCs w:val="26"/>
        </w:rPr>
        <w:t xml:space="preserve">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 xml:space="preserve">в </w:t>
            </w:r>
            <w:proofErr w:type="spellStart"/>
            <w:r w:rsidRPr="0043480B">
              <w:rPr>
                <w:sz w:val="22"/>
                <w:szCs w:val="22"/>
              </w:rPr>
              <w:t>Госфонд</w:t>
            </w:r>
            <w:proofErr w:type="spellEnd"/>
            <w:r w:rsidRPr="0043480B">
              <w:rPr>
                <w:sz w:val="22"/>
                <w:szCs w:val="22"/>
              </w:rPr>
              <w:t xml:space="preserve">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</w:t>
      </w:r>
      <w:proofErr w:type="gramStart"/>
      <w:r w:rsidR="00392BF4" w:rsidRPr="00A444E5">
        <w:rPr>
          <w:sz w:val="26"/>
          <w:szCs w:val="26"/>
        </w:rPr>
        <w:t xml:space="preserve">   </w:t>
      </w:r>
      <w:r w:rsidRPr="00A444E5">
        <w:rPr>
          <w:sz w:val="26"/>
          <w:szCs w:val="26"/>
        </w:rPr>
        <w:t>«</w:t>
      </w:r>
      <w:proofErr w:type="gramEnd"/>
      <w:r w:rsidRPr="00A444E5">
        <w:rPr>
          <w:sz w:val="26"/>
          <w:szCs w:val="26"/>
        </w:rPr>
        <w:t xml:space="preserve">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</w:t>
      </w:r>
      <w:proofErr w:type="spellStart"/>
      <w:r w:rsidRPr="00A444E5">
        <w:rPr>
          <w:sz w:val="26"/>
          <w:szCs w:val="26"/>
        </w:rPr>
        <w:t>ый</w:t>
      </w:r>
      <w:proofErr w:type="spellEnd"/>
      <w:r w:rsidRPr="00A444E5">
        <w:rPr>
          <w:sz w:val="26"/>
          <w:szCs w:val="26"/>
        </w:rPr>
        <w:t xml:space="preserve">) </w:t>
      </w:r>
      <w:proofErr w:type="gramStart"/>
      <w:r w:rsidRPr="00A444E5">
        <w:rPr>
          <w:sz w:val="26"/>
          <w:szCs w:val="26"/>
        </w:rPr>
        <w:t>в  дальнейшем</w:t>
      </w:r>
      <w:proofErr w:type="gramEnd"/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proofErr w:type="spellStart"/>
      <w:r w:rsidRPr="00A444E5">
        <w:rPr>
          <w:sz w:val="26"/>
          <w:szCs w:val="26"/>
        </w:rPr>
        <w:t>Госфонд</w:t>
      </w:r>
      <w:proofErr w:type="spellEnd"/>
      <w:r w:rsidRPr="00A444E5">
        <w:rPr>
          <w:sz w:val="26"/>
          <w:szCs w:val="26"/>
        </w:rPr>
        <w:t xml:space="preserve">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9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 xml:space="preserve">Стороны претензий друг к </w:t>
      </w:r>
      <w:proofErr w:type="gramStart"/>
      <w:r w:rsidR="0053252D" w:rsidRPr="00A444E5">
        <w:rPr>
          <w:sz w:val="26"/>
          <w:szCs w:val="26"/>
        </w:rPr>
        <w:t>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</w:t>
      </w:r>
      <w:proofErr w:type="gramEnd"/>
      <w:r w:rsidR="00DE10CB" w:rsidRPr="00A444E5">
        <w:rPr>
          <w:sz w:val="26"/>
          <w:szCs w:val="26"/>
        </w:rPr>
        <w:t>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10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 xml:space="preserve">в </w:t>
      </w:r>
      <w:proofErr w:type="spellStart"/>
      <w:r w:rsidRPr="0043480B">
        <w:rPr>
          <w:sz w:val="22"/>
          <w:szCs w:val="22"/>
        </w:rPr>
        <w:t>Госфонд</w:t>
      </w:r>
      <w:proofErr w:type="spellEnd"/>
      <w:r w:rsidRPr="0043480B">
        <w:rPr>
          <w:sz w:val="22"/>
          <w:szCs w:val="22"/>
        </w:rPr>
        <w:t xml:space="preserve">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 xml:space="preserve">договору купли-продажи драгоценных металлов в </w:t>
      </w:r>
      <w:proofErr w:type="spellStart"/>
      <w:r w:rsidR="00A81532">
        <w:rPr>
          <w:rFonts w:eastAsia="Calibri"/>
          <w:b/>
          <w:sz w:val="28"/>
          <w:szCs w:val="28"/>
          <w:lang w:eastAsia="en-US"/>
        </w:rPr>
        <w:t>Госфонд</w:t>
      </w:r>
      <w:proofErr w:type="spellEnd"/>
      <w:r w:rsidR="00A81532">
        <w:rPr>
          <w:rFonts w:eastAsia="Calibri"/>
          <w:b/>
          <w:sz w:val="28"/>
          <w:szCs w:val="28"/>
          <w:lang w:eastAsia="en-US"/>
        </w:rPr>
        <w:t xml:space="preserve">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357"/>
        <w:gridCol w:w="1335"/>
        <w:gridCol w:w="1358"/>
        <w:gridCol w:w="992"/>
        <w:gridCol w:w="1134"/>
        <w:gridCol w:w="993"/>
        <w:gridCol w:w="1412"/>
        <w:gridCol w:w="969"/>
        <w:gridCol w:w="2409"/>
        <w:gridCol w:w="2127"/>
        <w:gridCol w:w="1134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277218">
      <w:pPr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Pr="00277218" w:rsidRDefault="0094515F" w:rsidP="00277218">
      <w:pPr>
        <w:rPr>
          <w:rFonts w:eastAsia="Calibri"/>
          <w:sz w:val="26"/>
          <w:szCs w:val="26"/>
          <w:lang w:eastAsia="en-US"/>
        </w:rPr>
      </w:pPr>
    </w:p>
    <w:sectPr w:rsidR="0094515F" w:rsidRPr="00277218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DF" w:rsidRDefault="00F313DF" w:rsidP="00F24033">
      <w:r>
        <w:separator/>
      </w:r>
    </w:p>
  </w:endnote>
  <w:endnote w:type="continuationSeparator" w:id="0">
    <w:p w:rsidR="00F313DF" w:rsidRDefault="00F313DF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DF" w:rsidRDefault="00F313DF" w:rsidP="00F24033">
      <w:r>
        <w:separator/>
      </w:r>
    </w:p>
  </w:footnote>
  <w:footnote w:type="continuationSeparator" w:id="0">
    <w:p w:rsidR="00F313DF" w:rsidRDefault="00F313DF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Pr="00790918">
        <w:rPr>
          <w:sz w:val="16"/>
          <w:szCs w:val="16"/>
        </w:rPr>
        <w:t xml:space="preserve">ункт 4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</w:t>
      </w:r>
      <w:proofErr w:type="spellStart"/>
      <w:r w:rsidRPr="00790918">
        <w:rPr>
          <w:rFonts w:eastAsia="Calibri"/>
          <w:sz w:val="16"/>
          <w:szCs w:val="16"/>
        </w:rPr>
        <w:t>Госфонд</w:t>
      </w:r>
      <w:proofErr w:type="spellEnd"/>
      <w:r w:rsidRPr="00790918">
        <w:rPr>
          <w:rFonts w:eastAsia="Calibri"/>
          <w:sz w:val="16"/>
          <w:szCs w:val="16"/>
        </w:rPr>
        <w:t xml:space="preserve">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AC1D4B" w:rsidRDefault="00AC1D4B" w:rsidP="00AC1D4B">
      <w:pPr>
        <w:pStyle w:val="ae"/>
        <w:jc w:val="both"/>
      </w:pPr>
      <w:r>
        <w:rPr>
          <w:rStyle w:val="a8"/>
        </w:rPr>
        <w:footnoteRef/>
      </w:r>
      <w:r>
        <w:t xml:space="preserve"> </w:t>
      </w:r>
      <w:r w:rsidRPr="000353FE">
        <w:rPr>
          <w:sz w:val="18"/>
          <w:szCs w:val="18"/>
        </w:rPr>
        <w:t>На слитки, изготовленные после 19 ноября 2021 г. 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и сертификата на мерный слиток аффинированных драгоценных металлов и порядка их заполнения».</w:t>
      </w:r>
      <w:r>
        <w:rPr>
          <w:sz w:val="18"/>
          <w:szCs w:val="18"/>
        </w:rPr>
        <w:t xml:space="preserve"> </w:t>
      </w:r>
    </w:p>
  </w:footnote>
  <w:footnote w:id="6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7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8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9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10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6362D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2DA6"/>
    <w:rsid w:val="00054E69"/>
    <w:rsid w:val="00055F9D"/>
    <w:rsid w:val="00057155"/>
    <w:rsid w:val="0006014B"/>
    <w:rsid w:val="000631A5"/>
    <w:rsid w:val="00063C08"/>
    <w:rsid w:val="0006406C"/>
    <w:rsid w:val="00064D2C"/>
    <w:rsid w:val="00065F35"/>
    <w:rsid w:val="000664CB"/>
    <w:rsid w:val="00066A3C"/>
    <w:rsid w:val="0006788D"/>
    <w:rsid w:val="000679C6"/>
    <w:rsid w:val="00067BDE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2DDE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8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679E"/>
    <w:rsid w:val="00247424"/>
    <w:rsid w:val="00252319"/>
    <w:rsid w:val="002542F3"/>
    <w:rsid w:val="002610E9"/>
    <w:rsid w:val="002744BE"/>
    <w:rsid w:val="00277218"/>
    <w:rsid w:val="002774DC"/>
    <w:rsid w:val="0028027A"/>
    <w:rsid w:val="002817A0"/>
    <w:rsid w:val="0028199D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50DE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362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1042"/>
    <w:rsid w:val="004227C6"/>
    <w:rsid w:val="00422E67"/>
    <w:rsid w:val="00424054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5B17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1D21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2BD3"/>
    <w:rsid w:val="00501064"/>
    <w:rsid w:val="0050137F"/>
    <w:rsid w:val="0050202C"/>
    <w:rsid w:val="005036FA"/>
    <w:rsid w:val="00503D38"/>
    <w:rsid w:val="00507055"/>
    <w:rsid w:val="00510071"/>
    <w:rsid w:val="0051061D"/>
    <w:rsid w:val="00510B3E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47B89"/>
    <w:rsid w:val="00550007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EE6"/>
    <w:rsid w:val="00672A11"/>
    <w:rsid w:val="006761F2"/>
    <w:rsid w:val="0067637E"/>
    <w:rsid w:val="00676D3A"/>
    <w:rsid w:val="0067741E"/>
    <w:rsid w:val="0068195C"/>
    <w:rsid w:val="00684B71"/>
    <w:rsid w:val="006863B8"/>
    <w:rsid w:val="006866D3"/>
    <w:rsid w:val="0068712B"/>
    <w:rsid w:val="00694F43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9552F"/>
    <w:rsid w:val="007964CA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6CB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0D00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CA7"/>
    <w:rsid w:val="009B78D0"/>
    <w:rsid w:val="009C1442"/>
    <w:rsid w:val="009C2916"/>
    <w:rsid w:val="009C42C4"/>
    <w:rsid w:val="009C5BA4"/>
    <w:rsid w:val="009D2D98"/>
    <w:rsid w:val="009D6108"/>
    <w:rsid w:val="009D6A20"/>
    <w:rsid w:val="009E1298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219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5C6B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1D4B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B07D6"/>
    <w:rsid w:val="00CB1494"/>
    <w:rsid w:val="00CB3E8D"/>
    <w:rsid w:val="00CB5A1F"/>
    <w:rsid w:val="00CB6160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827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E79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3DA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13DF"/>
    <w:rsid w:val="00F34FD8"/>
    <w:rsid w:val="00F37B25"/>
    <w:rsid w:val="00F43F37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76C9"/>
    <w:rsid w:val="00F679F8"/>
    <w:rsid w:val="00F71014"/>
    <w:rsid w:val="00F71DBC"/>
    <w:rsid w:val="00F7298E"/>
    <w:rsid w:val="00F73A7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969A2"/>
    <w:rsid w:val="00FA0459"/>
    <w:rsid w:val="00FA261B"/>
    <w:rsid w:val="00FA5926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D61"/>
    <w:rsid w:val="00FC4410"/>
    <w:rsid w:val="00FC4BB7"/>
    <w:rsid w:val="00FC5844"/>
    <w:rsid w:val="00FC7368"/>
    <w:rsid w:val="00FD091D"/>
    <w:rsid w:val="00FD0965"/>
    <w:rsid w:val="00FD0DEC"/>
    <w:rsid w:val="00FD107F"/>
    <w:rsid w:val="00FD1A39"/>
    <w:rsid w:val="00FD526B"/>
    <w:rsid w:val="00FD5EB0"/>
    <w:rsid w:val="00FD5F2E"/>
    <w:rsid w:val="00FD652F"/>
    <w:rsid w:val="00FE18DD"/>
    <w:rsid w:val="00FE3D59"/>
    <w:rsid w:val="00FE68C8"/>
    <w:rsid w:val="00FF1E7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44BE-B98A-4F9B-91F0-7294D34D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14</Pages>
  <Words>4412</Words>
  <Characters>25152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29505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Николаев А.А.</cp:lastModifiedBy>
  <cp:revision>24</cp:revision>
  <cp:lastPrinted>2021-08-02T09:40:00Z</cp:lastPrinted>
  <dcterms:created xsi:type="dcterms:W3CDTF">2021-07-30T14:21:00Z</dcterms:created>
  <dcterms:modified xsi:type="dcterms:W3CDTF">2022-03-23T12:00:00Z</dcterms:modified>
</cp:coreProperties>
</file>