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Результаты информационных встреч с представителями                                      </w:t>
      </w:r>
      <w:r>
        <w:rPr>
          <w:b/>
          <w:color w:val="000000"/>
          <w:sz w:val="28"/>
        </w:rPr>
        <w:t xml:space="preserve">АО «АГД ДАЙМОНДС» </w:t>
      </w:r>
      <w:r>
        <w:rPr>
          <w:b/>
          <w:color w:val="000000"/>
          <w:sz w:val="28"/>
        </w:rPr>
        <w:t xml:space="preserve">и </w:t>
      </w:r>
      <w:r>
        <w:rPr>
          <w:b/>
          <w:color w:val="000000"/>
          <w:sz w:val="28"/>
        </w:rPr>
        <w:t>ПАО «Севералмаз»</w:t>
      </w:r>
    </w:p>
    <w:p>
      <w:pPr>
        <w:contextualSpacing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по вопросам соблюдения обязательных требований в феврале 2021 года</w:t>
      </w:r>
      <w:bookmarkStart w:id="0" w:name="_GoBack"/>
      <w:bookmarkEnd w:id="0"/>
    </w:p>
    <w:p>
      <w:pPr>
        <w:spacing w:line="336" w:lineRule="auto"/>
        <w:jc w:val="both"/>
        <w:rPr>
          <w:sz w:val="28"/>
          <w:szCs w:val="28"/>
        </w:rPr>
      </w:pPr>
    </w:p>
    <w:p>
      <w:pPr>
        <w:spacing w:line="360" w:lineRule="auto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1. Проведена информационная встреча с представителями                                                   АО «АГД ДАЙМОНДС» 1 февраля 2021 года по вопросам:</w:t>
      </w:r>
    </w:p>
    <w:p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своевременно</w:t>
      </w:r>
      <w:r>
        <w:rPr>
          <w:rFonts w:eastAsia="Calibri"/>
          <w:sz w:val="28"/>
          <w:szCs w:val="28"/>
          <w:lang w:eastAsia="en-US"/>
        </w:rPr>
        <w:t xml:space="preserve">го предоставления </w:t>
      </w:r>
      <w:r>
        <w:rPr>
          <w:rFonts w:eastAsia="Calibri"/>
          <w:sz w:val="28"/>
          <w:szCs w:val="28"/>
          <w:lang w:eastAsia="en-US"/>
        </w:rPr>
        <w:t>достоверных документов и сведений, необходимых для проведения мероприятий по конт</w:t>
      </w:r>
      <w:r>
        <w:rPr>
          <w:rFonts w:eastAsia="Calibri"/>
          <w:sz w:val="28"/>
          <w:szCs w:val="28"/>
          <w:lang w:eastAsia="en-US"/>
        </w:rPr>
        <w:t>ролю при приеме алмазов из ГОКа;</w:t>
      </w:r>
    </w:p>
    <w:p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превышения</w:t>
      </w:r>
      <w:r>
        <w:rPr>
          <w:rFonts w:eastAsia="Calibri"/>
          <w:sz w:val="28"/>
          <w:szCs w:val="28"/>
          <w:lang w:eastAsia="en-US"/>
        </w:rPr>
        <w:t xml:space="preserve"> установленных весовых расхождений алмазов, поступающих из УДК АО «АГД ДАЙМОНДС», при приеме в Гохран России</w:t>
      </w:r>
      <w:r>
        <w:rPr>
          <w:rFonts w:eastAsia="Calibri"/>
          <w:sz w:val="28"/>
          <w:szCs w:val="28"/>
          <w:lang w:eastAsia="en-US"/>
        </w:rPr>
        <w:t>;</w:t>
      </w:r>
    </w:p>
    <w:p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внесения</w:t>
      </w:r>
      <w:r>
        <w:rPr>
          <w:rFonts w:eastAsia="Calibri"/>
          <w:sz w:val="28"/>
          <w:szCs w:val="28"/>
          <w:lang w:eastAsia="en-US"/>
        </w:rPr>
        <w:t xml:space="preserve"> изменений в учетные документы АО «АГД ДАЙМОНДС», в части идентификации и </w:t>
      </w:r>
      <w:proofErr w:type="spellStart"/>
      <w:r>
        <w:rPr>
          <w:rFonts w:eastAsia="Calibri"/>
          <w:sz w:val="28"/>
          <w:szCs w:val="28"/>
          <w:lang w:eastAsia="en-US"/>
        </w:rPr>
        <w:t>прослеживаемости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посылок/партий алмазов на всех этапах сортировки алмазов</w:t>
      </w:r>
      <w:r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проведения эксперимента по изменению порядка отбора навески алмазов от массива алмазов одной размерности для достоверного определения наличия алмазов сме</w:t>
      </w:r>
      <w:r>
        <w:rPr>
          <w:rFonts w:eastAsia="Calibri"/>
          <w:sz w:val="28"/>
          <w:szCs w:val="28"/>
          <w:lang w:eastAsia="en-US"/>
        </w:rPr>
        <w:t>жных размерностей;</w:t>
      </w:r>
    </w:p>
    <w:p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предупреждени</w:t>
      </w:r>
      <w:r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нарушений обязательных требований посредством проведения профилактических мероприятий.</w:t>
      </w:r>
    </w:p>
    <w:p>
      <w:pPr>
        <w:spacing w:line="360" w:lineRule="auto"/>
        <w:ind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2. Проведена информационная встреча с представителями ПАО «</w:t>
      </w:r>
      <w:proofErr w:type="gramStart"/>
      <w:r>
        <w:rPr>
          <w:color w:val="000000"/>
          <w:sz w:val="28"/>
        </w:rPr>
        <w:t xml:space="preserve">Севералмаз»   </w:t>
      </w:r>
      <w:proofErr w:type="gramEnd"/>
      <w:r>
        <w:rPr>
          <w:color w:val="000000"/>
          <w:sz w:val="28"/>
        </w:rPr>
        <w:t xml:space="preserve">        2</w:t>
      </w:r>
      <w:r>
        <w:rPr>
          <w:color w:val="000000"/>
          <w:sz w:val="28"/>
        </w:rPr>
        <w:t xml:space="preserve"> февраля 2021</w:t>
      </w:r>
      <w:r>
        <w:rPr>
          <w:color w:val="000000"/>
          <w:sz w:val="28"/>
        </w:rPr>
        <w:t xml:space="preserve"> года по вопросам:</w:t>
      </w:r>
    </w:p>
    <w:p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внесения</w:t>
      </w:r>
      <w:r>
        <w:rPr>
          <w:rFonts w:eastAsia="Calibri"/>
          <w:sz w:val="28"/>
          <w:szCs w:val="28"/>
          <w:lang w:eastAsia="en-US"/>
        </w:rPr>
        <w:t xml:space="preserve"> изменений в учетные документы ПАО «Севералмаз», в части идентификации и </w:t>
      </w:r>
      <w:proofErr w:type="spellStart"/>
      <w:r>
        <w:rPr>
          <w:rFonts w:eastAsia="Calibri"/>
          <w:sz w:val="28"/>
          <w:szCs w:val="28"/>
          <w:lang w:eastAsia="en-US"/>
        </w:rPr>
        <w:t>прослеживаемости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посылок/партий алмазов на всех этапах сортировки алмазов</w:t>
      </w:r>
      <w:r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изменения</w:t>
      </w:r>
      <w:r>
        <w:rPr>
          <w:rFonts w:eastAsia="Calibri"/>
          <w:sz w:val="28"/>
          <w:szCs w:val="28"/>
          <w:lang w:eastAsia="en-US"/>
        </w:rPr>
        <w:t xml:space="preserve"> учета алмазов ПАО «Севералмаз» в связи с переходом на информационную систему АК «АЛРОСА» (ПАО).</w:t>
      </w:r>
    </w:p>
    <w:sectPr>
      <w:headerReference w:type="even" r:id="rId8"/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704499"/>
      <w:docPartObj>
        <w:docPartGallery w:val="Page Numbers (Top of Page)"/>
        <w:docPartUnique/>
      </w:docPartObj>
    </w:sdtPr>
    <w:sdtContent>
      <w:p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0953"/>
    <w:multiLevelType w:val="hybridMultilevel"/>
    <w:tmpl w:val="E2FA4D14"/>
    <w:lvl w:ilvl="0" w:tplc="68AAA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F59FD"/>
    <w:multiLevelType w:val="hybridMultilevel"/>
    <w:tmpl w:val="0A54AF9C"/>
    <w:lvl w:ilvl="0" w:tplc="6396E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C36240"/>
    <w:multiLevelType w:val="multilevel"/>
    <w:tmpl w:val="E01C4F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10DE540E"/>
    <w:multiLevelType w:val="multilevel"/>
    <w:tmpl w:val="08FE57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2057C12"/>
    <w:multiLevelType w:val="hybridMultilevel"/>
    <w:tmpl w:val="4928E5E2"/>
    <w:lvl w:ilvl="0" w:tplc="3A3EB0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85FC8"/>
    <w:multiLevelType w:val="hybridMultilevel"/>
    <w:tmpl w:val="9C26FDD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5226A23"/>
    <w:multiLevelType w:val="hybridMultilevel"/>
    <w:tmpl w:val="2CEE1C22"/>
    <w:lvl w:ilvl="0" w:tplc="EAC04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E143BE"/>
    <w:multiLevelType w:val="hybridMultilevel"/>
    <w:tmpl w:val="ECEEE4DC"/>
    <w:lvl w:ilvl="0" w:tplc="1DFCC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7C0FE4"/>
    <w:multiLevelType w:val="hybridMultilevel"/>
    <w:tmpl w:val="7654D7E4"/>
    <w:lvl w:ilvl="0" w:tplc="4858A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4517C2"/>
    <w:multiLevelType w:val="hybridMultilevel"/>
    <w:tmpl w:val="27368DA2"/>
    <w:lvl w:ilvl="0" w:tplc="9334E03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1220AD"/>
    <w:multiLevelType w:val="hybridMultilevel"/>
    <w:tmpl w:val="66621586"/>
    <w:lvl w:ilvl="0" w:tplc="04190013">
      <w:start w:val="1"/>
      <w:numFmt w:val="upperRoman"/>
      <w:lvlText w:val="%1."/>
      <w:lvlJc w:val="righ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6E50E8"/>
    <w:multiLevelType w:val="hybridMultilevel"/>
    <w:tmpl w:val="6B5064E8"/>
    <w:lvl w:ilvl="0" w:tplc="6D5E27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9022F"/>
    <w:multiLevelType w:val="hybridMultilevel"/>
    <w:tmpl w:val="0C36ECB2"/>
    <w:lvl w:ilvl="0" w:tplc="235259C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4F6899"/>
    <w:multiLevelType w:val="hybridMultilevel"/>
    <w:tmpl w:val="0262DF94"/>
    <w:lvl w:ilvl="0" w:tplc="68AAA9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384A55"/>
    <w:multiLevelType w:val="hybridMultilevel"/>
    <w:tmpl w:val="D8084DEC"/>
    <w:lvl w:ilvl="0" w:tplc="363048D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AE23B23"/>
    <w:multiLevelType w:val="hybridMultilevel"/>
    <w:tmpl w:val="F410A154"/>
    <w:lvl w:ilvl="0" w:tplc="3F1A2708">
      <w:start w:val="1"/>
      <w:numFmt w:val="decimal"/>
      <w:lvlText w:val="%1."/>
      <w:lvlJc w:val="left"/>
      <w:pPr>
        <w:tabs>
          <w:tab w:val="num" w:pos="1135"/>
        </w:tabs>
        <w:ind w:left="11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  <w:rPr>
        <w:rFonts w:cs="Times New Roman"/>
      </w:rPr>
    </w:lvl>
  </w:abstractNum>
  <w:abstractNum w:abstractNumId="16" w15:restartNumberingAfterBreak="0">
    <w:nsid w:val="3BBE2C5D"/>
    <w:multiLevelType w:val="hybridMultilevel"/>
    <w:tmpl w:val="9634ECF8"/>
    <w:lvl w:ilvl="0" w:tplc="F4364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CB07C34"/>
    <w:multiLevelType w:val="hybridMultilevel"/>
    <w:tmpl w:val="D8280F22"/>
    <w:lvl w:ilvl="0" w:tplc="CE8C76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E644D52"/>
    <w:multiLevelType w:val="hybridMultilevel"/>
    <w:tmpl w:val="2CEE1C22"/>
    <w:lvl w:ilvl="0" w:tplc="EAC04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16B5B37"/>
    <w:multiLevelType w:val="hybridMultilevel"/>
    <w:tmpl w:val="6324B942"/>
    <w:lvl w:ilvl="0" w:tplc="CFA6BFB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572758"/>
    <w:multiLevelType w:val="hybridMultilevel"/>
    <w:tmpl w:val="369AFBDA"/>
    <w:lvl w:ilvl="0" w:tplc="49246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5702243"/>
    <w:multiLevelType w:val="hybridMultilevel"/>
    <w:tmpl w:val="384A00A4"/>
    <w:lvl w:ilvl="0" w:tplc="68AAA92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46B6093A"/>
    <w:multiLevelType w:val="hybridMultilevel"/>
    <w:tmpl w:val="8C10D7B2"/>
    <w:lvl w:ilvl="0" w:tplc="1A384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8842E68"/>
    <w:multiLevelType w:val="hybridMultilevel"/>
    <w:tmpl w:val="6B88C0AE"/>
    <w:lvl w:ilvl="0" w:tplc="1A384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E4273C3"/>
    <w:multiLevelType w:val="hybridMultilevel"/>
    <w:tmpl w:val="E0F47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E514BDC"/>
    <w:multiLevelType w:val="hybridMultilevel"/>
    <w:tmpl w:val="BDBC822A"/>
    <w:lvl w:ilvl="0" w:tplc="3A94BA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 w15:restartNumberingAfterBreak="0">
    <w:nsid w:val="50F87A17"/>
    <w:multiLevelType w:val="hybridMultilevel"/>
    <w:tmpl w:val="1FF2FD6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2431128"/>
    <w:multiLevelType w:val="hybridMultilevel"/>
    <w:tmpl w:val="9B5C8CD0"/>
    <w:lvl w:ilvl="0" w:tplc="ED5C9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315236E"/>
    <w:multiLevelType w:val="hybridMultilevel"/>
    <w:tmpl w:val="A008C15C"/>
    <w:lvl w:ilvl="0" w:tplc="3F1A27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9" w15:restartNumberingAfterBreak="0">
    <w:nsid w:val="57D3117D"/>
    <w:multiLevelType w:val="hybridMultilevel"/>
    <w:tmpl w:val="0A1E6452"/>
    <w:lvl w:ilvl="0" w:tplc="57FE0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B7E442C"/>
    <w:multiLevelType w:val="hybridMultilevel"/>
    <w:tmpl w:val="2CEE1C22"/>
    <w:lvl w:ilvl="0" w:tplc="EAC04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D2A3A22"/>
    <w:multiLevelType w:val="hybridMultilevel"/>
    <w:tmpl w:val="CBDE8F64"/>
    <w:lvl w:ilvl="0" w:tplc="57ACD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F974B98"/>
    <w:multiLevelType w:val="hybridMultilevel"/>
    <w:tmpl w:val="37BA59D6"/>
    <w:lvl w:ilvl="0" w:tplc="1A384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28"/>
  </w:num>
  <w:num w:numId="3">
    <w:abstractNumId w:val="15"/>
  </w:num>
  <w:num w:numId="4">
    <w:abstractNumId w:val="24"/>
  </w:num>
  <w:num w:numId="5">
    <w:abstractNumId w:val="12"/>
  </w:num>
  <w:num w:numId="6">
    <w:abstractNumId w:val="22"/>
  </w:num>
  <w:num w:numId="7">
    <w:abstractNumId w:val="5"/>
  </w:num>
  <w:num w:numId="8">
    <w:abstractNumId w:val="21"/>
  </w:num>
  <w:num w:numId="9">
    <w:abstractNumId w:val="19"/>
  </w:num>
  <w:num w:numId="10">
    <w:abstractNumId w:val="13"/>
  </w:num>
  <w:num w:numId="11">
    <w:abstractNumId w:val="32"/>
  </w:num>
  <w:num w:numId="12">
    <w:abstractNumId w:val="10"/>
  </w:num>
  <w:num w:numId="13">
    <w:abstractNumId w:val="23"/>
  </w:num>
  <w:num w:numId="14">
    <w:abstractNumId w:val="0"/>
  </w:num>
  <w:num w:numId="15">
    <w:abstractNumId w:val="30"/>
  </w:num>
  <w:num w:numId="16">
    <w:abstractNumId w:val="11"/>
  </w:num>
  <w:num w:numId="17">
    <w:abstractNumId w:val="3"/>
  </w:num>
  <w:num w:numId="18">
    <w:abstractNumId w:val="6"/>
  </w:num>
  <w:num w:numId="19">
    <w:abstractNumId w:val="4"/>
  </w:num>
  <w:num w:numId="20">
    <w:abstractNumId w:val="18"/>
  </w:num>
  <w:num w:numId="21">
    <w:abstractNumId w:val="26"/>
  </w:num>
  <w:num w:numId="22">
    <w:abstractNumId w:val="14"/>
  </w:num>
  <w:num w:numId="23">
    <w:abstractNumId w:val="8"/>
  </w:num>
  <w:num w:numId="24">
    <w:abstractNumId w:val="2"/>
  </w:num>
  <w:num w:numId="25">
    <w:abstractNumId w:val="9"/>
  </w:num>
  <w:num w:numId="26">
    <w:abstractNumId w:val="1"/>
  </w:num>
  <w:num w:numId="27">
    <w:abstractNumId w:val="20"/>
  </w:num>
  <w:num w:numId="28">
    <w:abstractNumId w:val="27"/>
  </w:num>
  <w:num w:numId="29">
    <w:abstractNumId w:val="16"/>
  </w:num>
  <w:num w:numId="30">
    <w:abstractNumId w:val="29"/>
  </w:num>
  <w:num w:numId="31">
    <w:abstractNumId w:val="17"/>
  </w:num>
  <w:num w:numId="32">
    <w:abstractNumId w:val="3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7C5D9B-7B57-47FC-8805-76CAC5EF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Body Text"/>
    <w:basedOn w:val="a"/>
    <w:link w:val="a4"/>
    <w:uiPriority w:val="99"/>
    <w:semiHidden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rPr>
      <w:sz w:val="24"/>
      <w:szCs w:val="24"/>
    </w:rPr>
  </w:style>
  <w:style w:type="paragraph" w:styleId="a5">
    <w:name w:val="Body Text Indent"/>
    <w:basedOn w:val="a"/>
    <w:link w:val="a6"/>
    <w:uiPriority w:val="99"/>
    <w:semiHidden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rPr>
      <w:sz w:val="24"/>
      <w:szCs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Pr>
      <w:sz w:val="24"/>
      <w:szCs w:val="24"/>
    </w:rPr>
  </w:style>
  <w:style w:type="character" w:styleId="a9">
    <w:name w:val="page number"/>
    <w:uiPriority w:val="99"/>
    <w:semiHidden/>
    <w:rPr>
      <w:rFonts w:cs="Times New Roman"/>
    </w:rPr>
  </w:style>
  <w:style w:type="paragraph" w:styleId="aa">
    <w:name w:val="footer"/>
    <w:basedOn w:val="a"/>
    <w:link w:val="ab"/>
    <w:uiPriority w:val="99"/>
    <w:semiHidden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Pr>
      <w:sz w:val="24"/>
      <w:szCs w:val="24"/>
    </w:rPr>
  </w:style>
  <w:style w:type="table" w:styleId="ac">
    <w:name w:val="Table Grid"/>
    <w:basedOn w:val="a1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styleId="af0">
    <w:name w:val="Normal (Web)"/>
    <w:basedOn w:val="a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Pr>
      <w:color w:val="0000FF"/>
      <w:u w:val="single"/>
    </w:rPr>
  </w:style>
  <w:style w:type="character" w:styleId="af2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AC375-B5F1-4DDA-9354-A50A7421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164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ГОХРАН РОССИИ</vt:lpstr>
    </vt:vector>
  </TitlesOfParts>
  <Company>Гохран России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ГОХРАН РОССИИ</dc:title>
  <dc:creator>Гохран РФ</dc:creator>
  <cp:lastModifiedBy>Полева О. В.</cp:lastModifiedBy>
  <cp:revision>11</cp:revision>
  <cp:lastPrinted>2021-03-03T06:32:00Z</cp:lastPrinted>
  <dcterms:created xsi:type="dcterms:W3CDTF">2021-03-03T05:46:00Z</dcterms:created>
  <dcterms:modified xsi:type="dcterms:W3CDTF">2021-03-03T06:33:00Z</dcterms:modified>
</cp:coreProperties>
</file>